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center"/>
        <w:spacing w:lineRule="auto" w:line="240" w:before="0" w:after="0"/>
        <w:ind w:right="0" w:left="0" w:firstLine="0"/>
        <w:rPr>
          <w:b w:val="0"/>
          <w:color w:val="auto"/>
          <w:position w:val="0"/>
          <w:sz w:val="24"/>
          <w:szCs w:val="24"/>
          <w:rFonts w:ascii="微软雅黑" w:eastAsia="微软雅黑" w:hAnsi="微软雅黑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4"/>
          <w:szCs w:val="24"/>
          <w:rFonts w:ascii="微软雅黑" w:eastAsia="微软雅黑" w:hAnsi="微软雅黑" w:hint="default"/>
        </w:rPr>
        <w:t>宜兴房产网项目提交资料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lef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确保资料准确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t>楼盘名称：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t xml:space="preserve">楼盘图片： jpg/gif/png格式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t xml:space="preserve">区域方位：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t>详细地址：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t>开发单位：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t>售楼地址：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t>售楼电话：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t>物业类型：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t xml:space="preserve">交房标准：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t>户型种类：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t xml:space="preserve">总 套 数：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t>开盘日期：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t>交房时间：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t>占地面积：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t>建筑面积：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t xml:space="preserve">容 积 率：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t xml:space="preserve">绿 化 率：？%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t xml:space="preserve">销售均价：？元/㎡    待定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t>交通状况：30字以上文字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t xml:space="preserve">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t>周边设施：30字以上文字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t xml:space="preserve">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t>内部配套：30字以上文字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t xml:space="preserve">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t>详细介绍：100字以上文字加图片更佳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t>外加效果图，实景图，户型图，样板房照片，楼盘宣传视频，和本文档一起打包发到邮箱</w:t>
      </w:r>
      <w:r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t>138615886@qq.com，并及时联系手机/微信：13815111375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微软雅黑" w:eastAsia="微软雅黑" w:hAnsi="微软雅黑" w:hint="default"/>
        </w:rPr>
        <w:t>项目动态资讯需要发布的，随时联系以上微信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微软雅黑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33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